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3</w:t>
      </w:r>
    </w:p>
    <w:p>
      <w:pPr>
        <w:spacing w:line="24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超高清视频+行业创新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应用场景示范项目汇总表</w:t>
      </w:r>
    </w:p>
    <w:bookmarkEnd w:id="0"/>
    <w:tbl>
      <w:tblPr>
        <w:tblStyle w:val="2"/>
        <w:tblW w:w="138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997"/>
        <w:gridCol w:w="1100"/>
        <w:gridCol w:w="1500"/>
        <w:gridCol w:w="1500"/>
        <w:gridCol w:w="2100"/>
        <w:gridCol w:w="1915"/>
        <w:gridCol w:w="1857"/>
        <w:gridCol w:w="240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应用场景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项目建设单位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项目建设内容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项目建设周期（20xx年x月-20xx年x月）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项目总投资（万元）</w:t>
            </w: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bidi="ar"/>
              </w:rPr>
              <w:t>项目已投入资金（万元）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项目建设进度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5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8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ind w:firstLine="0" w:firstLineChars="0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F215B"/>
    <w:rsid w:val="3DAF2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40" w:lineRule="exact"/>
      <w:ind w:firstLine="622" w:firstLineChars="20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2020-12-30T07:38:00Z</dcterms:created>
  <dc:creator>谷小晨</dc:creator>
  <cp:lastModifiedBy>谷小晨</cp:lastModifiedBy>
  <dcterms:modified xsi:type="dcterms:W3CDTF">2020-12-30T07:46:32Z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